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6919" w:rsidRDefault="002A5AA1" w:rsidP="008E6919">
      <w:pPr>
        <w:jc w:val="both"/>
        <w:rPr>
          <w:rStyle w:val="TITREHBT1"/>
          <w:sz w:val="48"/>
        </w:rPr>
      </w:pPr>
      <w:r w:rsidRPr="00A72CE1">
        <w:rPr>
          <w:rFonts w:ascii="Bebas Neue" w:hAnsi="Bebas Neue"/>
          <w:noProof/>
          <w:sz w:val="48"/>
          <w:lang w:eastAsia="fr-FR"/>
        </w:rPr>
        <w:drawing>
          <wp:anchor distT="0" distB="0" distL="114300" distR="114300" simplePos="0" relativeHeight="251659264" behindDoc="1" locked="0" layoutInCell="1" allowOverlap="1" wp14:anchorId="1A976EC6" wp14:editId="3E816870">
            <wp:simplePos x="0" y="0"/>
            <wp:positionH relativeFrom="margin">
              <wp:align>right</wp:align>
            </wp:positionH>
            <wp:positionV relativeFrom="paragraph">
              <wp:posOffset>-261842</wp:posOffset>
            </wp:positionV>
            <wp:extent cx="885825" cy="885825"/>
            <wp:effectExtent l="0" t="0" r="9525" b="9525"/>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HBT.png"/>
                    <pic:cNvPicPr/>
                  </pic:nvPicPr>
                  <pic:blipFill>
                    <a:blip r:embed="rId5">
                      <a:extLst>
                        <a:ext uri="{28A0092B-C50C-407E-A947-70E740481C1C}">
                          <a14:useLocalDpi xmlns:a14="http://schemas.microsoft.com/office/drawing/2010/main" val="0"/>
                        </a:ext>
                      </a:extLst>
                    </a:blip>
                    <a:stretch>
                      <a:fillRect/>
                    </a:stretch>
                  </pic:blipFill>
                  <pic:spPr>
                    <a:xfrm>
                      <a:off x="0" y="0"/>
                      <a:ext cx="885825" cy="885825"/>
                    </a:xfrm>
                    <a:prstGeom prst="rect">
                      <a:avLst/>
                    </a:prstGeom>
                  </pic:spPr>
                </pic:pic>
              </a:graphicData>
            </a:graphic>
            <wp14:sizeRelH relativeFrom="margin">
              <wp14:pctWidth>0</wp14:pctWidth>
            </wp14:sizeRelH>
            <wp14:sizeRelV relativeFrom="margin">
              <wp14:pctHeight>0</wp14:pctHeight>
            </wp14:sizeRelV>
          </wp:anchor>
        </w:drawing>
      </w:r>
      <w:r>
        <w:rPr>
          <w:rStyle w:val="TITREHBT1"/>
          <w:sz w:val="48"/>
        </w:rPr>
        <w:t xml:space="preserve">PSYCHOLOGUE – </w:t>
      </w:r>
      <w:r w:rsidRPr="002A5AA1">
        <w:rPr>
          <w:rStyle w:val="TITREHBT1"/>
          <w:sz w:val="48"/>
        </w:rPr>
        <w:t>Addictologie</w:t>
      </w:r>
    </w:p>
    <w:p w:rsidR="008E6919" w:rsidRPr="008E6919" w:rsidRDefault="008E6919" w:rsidP="002A5AA1">
      <w:pPr>
        <w:ind w:firstLine="708"/>
        <w:jc w:val="center"/>
        <w:rPr>
          <w:rStyle w:val="CORPSHBT2"/>
          <w:rFonts w:ascii="Bebas Neue" w:hAnsi="Bebas Neue"/>
          <w:sz w:val="6"/>
        </w:rPr>
      </w:pPr>
    </w:p>
    <w:p w:rsidR="002A5AA1" w:rsidRPr="002A5AA1" w:rsidRDefault="002A5AA1" w:rsidP="008E6919">
      <w:pPr>
        <w:jc w:val="both"/>
        <w:rPr>
          <w:rStyle w:val="CORPSHBT2"/>
          <w:sz w:val="20"/>
        </w:rPr>
      </w:pPr>
      <w:r w:rsidRPr="002A5AA1">
        <w:rPr>
          <w:rStyle w:val="CORPSHBT2"/>
          <w:sz w:val="20"/>
        </w:rPr>
        <w:t xml:space="preserve">Les Hôpitaux du Bassin de Thau déploient leur activité avec 947 lits et places dont 24 lits de soins critiques sur plusieurs sites, dont les deux principaux sont situés à Sète et Agde. </w:t>
      </w:r>
    </w:p>
    <w:p w:rsidR="002A5AA1" w:rsidRPr="002A5AA1" w:rsidRDefault="002A5AA1" w:rsidP="008E6919">
      <w:pPr>
        <w:jc w:val="both"/>
        <w:rPr>
          <w:rStyle w:val="CORPSHBT2"/>
          <w:sz w:val="20"/>
        </w:rPr>
      </w:pPr>
      <w:r w:rsidRPr="002A5AA1">
        <w:rPr>
          <w:rStyle w:val="CORPSHBT2"/>
          <w:sz w:val="20"/>
        </w:rPr>
        <w:t>L’Hôpital Saint-Clair est le siège administratif et le site le plus important. Il offre un plateau technique complet (bloc opératoire, imagerie, laboratoire, pharmacie…).</w:t>
      </w:r>
    </w:p>
    <w:tbl>
      <w:tblPr>
        <w:tblStyle w:val="Grilledutableau"/>
        <w:tblpPr w:leftFromText="141" w:rightFromText="141" w:vertAnchor="text" w:horzAnchor="margin" w:tblpY="3182"/>
        <w:tblW w:w="9781" w:type="dxa"/>
        <w:tblLook w:val="04A0" w:firstRow="1" w:lastRow="0" w:firstColumn="1" w:lastColumn="0" w:noHBand="0" w:noVBand="1"/>
      </w:tblPr>
      <w:tblGrid>
        <w:gridCol w:w="1844"/>
        <w:gridCol w:w="7937"/>
      </w:tblGrid>
      <w:tr w:rsidR="008E6919" w:rsidTr="008E6919">
        <w:trPr>
          <w:trHeight w:val="2033"/>
        </w:trPr>
        <w:tc>
          <w:tcPr>
            <w:tcW w:w="1844" w:type="dxa"/>
            <w:shd w:val="clear" w:color="auto" w:fill="2F5CA7"/>
            <w:vAlign w:val="center"/>
          </w:tcPr>
          <w:p w:rsidR="008E6919" w:rsidRPr="002A5AA1" w:rsidRDefault="008E6919" w:rsidP="008E6919">
            <w:pPr>
              <w:rPr>
                <w:rStyle w:val="CORPSHBT2"/>
                <w:sz w:val="20"/>
              </w:rPr>
            </w:pPr>
            <w:r w:rsidRPr="008E6919">
              <w:rPr>
                <w:rStyle w:val="CORPSHBT2"/>
                <w:b/>
                <w:color w:val="FFFFFF" w:themeColor="background1"/>
                <w:sz w:val="20"/>
              </w:rPr>
              <w:t>Description</w:t>
            </w:r>
          </w:p>
        </w:tc>
        <w:tc>
          <w:tcPr>
            <w:tcW w:w="7937" w:type="dxa"/>
            <w:vAlign w:val="center"/>
          </w:tcPr>
          <w:p w:rsidR="008E6919" w:rsidRPr="002A5AA1" w:rsidRDefault="008E6919" w:rsidP="008E6919">
            <w:pPr>
              <w:rPr>
                <w:rStyle w:val="CORPSHBT2"/>
              </w:rPr>
            </w:pPr>
            <w:r w:rsidRPr="002A5AA1">
              <w:rPr>
                <w:rStyle w:val="CORPSHBT2"/>
                <w:sz w:val="20"/>
              </w:rPr>
              <w:t>Concevoir, élaborer et mettre en œuvre des actions préventives, curatives et de recherche à travers une démarche</w:t>
            </w:r>
            <w:r w:rsidRPr="002A5AA1">
              <w:rPr>
                <w:rStyle w:val="CORPSHBT2"/>
                <w:sz w:val="20"/>
              </w:rPr>
              <w:br/>
              <w:t>professionnelle propre prenant en compte les rapports réciproques entre la vie psychique et les comportements individuels</w:t>
            </w:r>
            <w:r w:rsidRPr="002A5AA1">
              <w:rPr>
                <w:rStyle w:val="CORPSHBT2"/>
                <w:sz w:val="20"/>
              </w:rPr>
              <w:br/>
              <w:t>et collectifs, afin de promouvoir l'autonomie et le bien-être de la personne.</w:t>
            </w:r>
          </w:p>
        </w:tc>
      </w:tr>
      <w:tr w:rsidR="008E6919" w:rsidTr="008E6919">
        <w:trPr>
          <w:trHeight w:val="2702"/>
        </w:trPr>
        <w:tc>
          <w:tcPr>
            <w:tcW w:w="1844" w:type="dxa"/>
            <w:shd w:val="clear" w:color="auto" w:fill="2F5CA7"/>
            <w:vAlign w:val="center"/>
          </w:tcPr>
          <w:p w:rsidR="008E6919" w:rsidRPr="008E6919" w:rsidRDefault="008E6919" w:rsidP="008E6919">
            <w:pPr>
              <w:rPr>
                <w:rStyle w:val="CORPSHBT2"/>
                <w:b/>
                <w:color w:val="FFFFFF" w:themeColor="background1"/>
                <w:sz w:val="20"/>
              </w:rPr>
            </w:pPr>
            <w:r w:rsidRPr="008E6919">
              <w:rPr>
                <w:rStyle w:val="CORPSHBT2"/>
                <w:b/>
                <w:color w:val="FFFFFF" w:themeColor="background1"/>
                <w:sz w:val="20"/>
              </w:rPr>
              <w:t>Missions</w:t>
            </w:r>
          </w:p>
          <w:p w:rsidR="008E6919" w:rsidRPr="008E6919" w:rsidRDefault="008E6919" w:rsidP="008E6919">
            <w:pPr>
              <w:rPr>
                <w:rStyle w:val="CORPSHBT2"/>
                <w:b/>
                <w:color w:val="FFFFFF" w:themeColor="background1"/>
                <w:sz w:val="20"/>
              </w:rPr>
            </w:pPr>
          </w:p>
          <w:p w:rsidR="008E6919" w:rsidRPr="008E6919" w:rsidRDefault="008E6919" w:rsidP="008E6919">
            <w:pPr>
              <w:rPr>
                <w:rStyle w:val="CORPSHBT2"/>
                <w:sz w:val="20"/>
              </w:rPr>
            </w:pPr>
          </w:p>
        </w:tc>
        <w:tc>
          <w:tcPr>
            <w:tcW w:w="7937" w:type="dxa"/>
          </w:tcPr>
          <w:p w:rsidR="008E6919" w:rsidRDefault="008E6919" w:rsidP="008E6919">
            <w:pPr>
              <w:rPr>
                <w:rStyle w:val="CORPSHBT2"/>
                <w:sz w:val="20"/>
              </w:rPr>
            </w:pPr>
          </w:p>
          <w:p w:rsidR="008E6919" w:rsidRDefault="008E6919" w:rsidP="008E6919">
            <w:pPr>
              <w:pStyle w:val="Paragraphedeliste"/>
              <w:numPr>
                <w:ilvl w:val="0"/>
                <w:numId w:val="3"/>
              </w:numPr>
              <w:rPr>
                <w:rStyle w:val="CORPSHBT2"/>
                <w:sz w:val="20"/>
              </w:rPr>
            </w:pPr>
            <w:r w:rsidRPr="008E6919">
              <w:rPr>
                <w:rStyle w:val="CORPSHBT2"/>
                <w:sz w:val="20"/>
              </w:rPr>
              <w:t>Entretiens spécialisés à visée diagnostique, évaluative ou thérapeutique</w:t>
            </w:r>
          </w:p>
          <w:p w:rsidR="008E6919" w:rsidRDefault="008E6919" w:rsidP="008E6919">
            <w:pPr>
              <w:pStyle w:val="Paragraphedeliste"/>
              <w:numPr>
                <w:ilvl w:val="0"/>
                <w:numId w:val="3"/>
              </w:numPr>
              <w:rPr>
                <w:rStyle w:val="CORPSHBT2"/>
                <w:sz w:val="20"/>
              </w:rPr>
            </w:pPr>
            <w:r w:rsidRPr="008E6919">
              <w:rPr>
                <w:rStyle w:val="CORPSHBT2"/>
                <w:sz w:val="20"/>
              </w:rPr>
              <w:t>Repérage des éléments cliniques observés en lien avec la conduite addictive dans l’histoire du patient</w:t>
            </w:r>
          </w:p>
          <w:p w:rsidR="008E6919" w:rsidRDefault="008E6919" w:rsidP="008E6919">
            <w:pPr>
              <w:pStyle w:val="Paragraphedeliste"/>
              <w:numPr>
                <w:ilvl w:val="0"/>
                <w:numId w:val="3"/>
              </w:numPr>
              <w:rPr>
                <w:rStyle w:val="CORPSHBT2"/>
                <w:sz w:val="20"/>
              </w:rPr>
            </w:pPr>
            <w:r w:rsidRPr="008E6919">
              <w:rPr>
                <w:rStyle w:val="CORPSHBT2"/>
                <w:sz w:val="20"/>
              </w:rPr>
              <w:t>Bilans psychologiques</w:t>
            </w:r>
          </w:p>
          <w:p w:rsidR="008E6919" w:rsidRDefault="008E6919" w:rsidP="008E6919">
            <w:pPr>
              <w:pStyle w:val="Paragraphedeliste"/>
              <w:numPr>
                <w:ilvl w:val="0"/>
                <w:numId w:val="3"/>
              </w:numPr>
              <w:rPr>
                <w:rStyle w:val="CORPSHBT2"/>
                <w:sz w:val="20"/>
              </w:rPr>
            </w:pPr>
            <w:r w:rsidRPr="008E6919">
              <w:rPr>
                <w:rStyle w:val="CORPSHBT2"/>
                <w:sz w:val="20"/>
              </w:rPr>
              <w:t>Animation de groupes thérapeutiques</w:t>
            </w:r>
          </w:p>
          <w:p w:rsidR="008E6919" w:rsidRDefault="008E6919" w:rsidP="008E6919">
            <w:pPr>
              <w:pStyle w:val="Paragraphedeliste"/>
              <w:numPr>
                <w:ilvl w:val="0"/>
                <w:numId w:val="3"/>
              </w:numPr>
              <w:rPr>
                <w:rStyle w:val="CORPSHBT2"/>
                <w:sz w:val="20"/>
              </w:rPr>
            </w:pPr>
            <w:r w:rsidRPr="008E6919">
              <w:rPr>
                <w:rStyle w:val="CORPSHBT2"/>
                <w:sz w:val="20"/>
              </w:rPr>
              <w:t>Réalisation de recueil de données et démarche de soins</w:t>
            </w:r>
          </w:p>
          <w:p w:rsidR="008E6919" w:rsidRDefault="008E6919" w:rsidP="008E6919">
            <w:pPr>
              <w:pStyle w:val="Paragraphedeliste"/>
              <w:numPr>
                <w:ilvl w:val="0"/>
                <w:numId w:val="3"/>
              </w:numPr>
              <w:rPr>
                <w:rStyle w:val="CORPSHBT2"/>
                <w:sz w:val="20"/>
              </w:rPr>
            </w:pPr>
            <w:r w:rsidRPr="008E6919">
              <w:rPr>
                <w:rStyle w:val="CORPSHBT2"/>
                <w:sz w:val="20"/>
              </w:rPr>
              <w:t>Participation à la planification et à la coordination du projet de soins</w:t>
            </w:r>
          </w:p>
          <w:p w:rsidR="008E6919" w:rsidRDefault="008E6919" w:rsidP="008E6919">
            <w:pPr>
              <w:pStyle w:val="Paragraphedeliste"/>
              <w:numPr>
                <w:ilvl w:val="0"/>
                <w:numId w:val="3"/>
              </w:numPr>
              <w:rPr>
                <w:rStyle w:val="CORPSHBT2"/>
                <w:sz w:val="20"/>
              </w:rPr>
            </w:pPr>
            <w:r w:rsidRPr="008E6919">
              <w:rPr>
                <w:rStyle w:val="CORPSHBT2"/>
                <w:sz w:val="20"/>
              </w:rPr>
              <w:t>Suivi individuel et ajustements cliniques si besoin</w:t>
            </w:r>
          </w:p>
          <w:p w:rsidR="008E6919" w:rsidRDefault="008E6919" w:rsidP="008E6919">
            <w:pPr>
              <w:pStyle w:val="Paragraphedeliste"/>
              <w:numPr>
                <w:ilvl w:val="0"/>
                <w:numId w:val="3"/>
              </w:numPr>
              <w:rPr>
                <w:rStyle w:val="CORPSHBT2"/>
                <w:sz w:val="20"/>
              </w:rPr>
            </w:pPr>
            <w:r w:rsidRPr="008E6919">
              <w:rPr>
                <w:rStyle w:val="CORPSHBT2"/>
                <w:sz w:val="20"/>
              </w:rPr>
              <w:t>Animation de réunions et de groupes</w:t>
            </w:r>
          </w:p>
          <w:p w:rsidR="008E6919" w:rsidRDefault="008E6919" w:rsidP="008E6919">
            <w:pPr>
              <w:pStyle w:val="Paragraphedeliste"/>
              <w:numPr>
                <w:ilvl w:val="0"/>
                <w:numId w:val="3"/>
              </w:numPr>
              <w:rPr>
                <w:rStyle w:val="CORPSHBT2"/>
                <w:sz w:val="20"/>
              </w:rPr>
            </w:pPr>
            <w:r w:rsidRPr="008E6919">
              <w:rPr>
                <w:rStyle w:val="CORPSHBT2"/>
                <w:sz w:val="20"/>
              </w:rPr>
              <w:t>Supervision d’équipe</w:t>
            </w:r>
          </w:p>
          <w:p w:rsidR="008E6919" w:rsidRDefault="008E6919" w:rsidP="008E6919">
            <w:pPr>
              <w:pStyle w:val="Paragraphedeliste"/>
              <w:numPr>
                <w:ilvl w:val="0"/>
                <w:numId w:val="3"/>
              </w:numPr>
              <w:rPr>
                <w:rStyle w:val="CORPSHBT2"/>
                <w:sz w:val="20"/>
              </w:rPr>
            </w:pPr>
            <w:r w:rsidRPr="008E6919">
              <w:rPr>
                <w:rStyle w:val="CORPSHBT2"/>
                <w:sz w:val="20"/>
              </w:rPr>
              <w:t xml:space="preserve"> Participation aux réunions d’équipe, staff d’équipe pluridisciplinaire et réunions institutionnelles</w:t>
            </w:r>
          </w:p>
          <w:p w:rsidR="008E6919" w:rsidRDefault="008E6919" w:rsidP="008E6919">
            <w:pPr>
              <w:pStyle w:val="Paragraphedeliste"/>
              <w:numPr>
                <w:ilvl w:val="0"/>
                <w:numId w:val="3"/>
              </w:numPr>
              <w:rPr>
                <w:rStyle w:val="CORPSHBT2"/>
                <w:sz w:val="20"/>
              </w:rPr>
            </w:pPr>
            <w:r w:rsidRPr="008E6919">
              <w:rPr>
                <w:rStyle w:val="CORPSHBT2"/>
                <w:sz w:val="20"/>
              </w:rPr>
              <w:t>Formation des personnels</w:t>
            </w:r>
          </w:p>
          <w:p w:rsidR="008E6919" w:rsidRPr="008E6919" w:rsidRDefault="008E6919" w:rsidP="008E6919">
            <w:pPr>
              <w:pStyle w:val="Paragraphedeliste"/>
              <w:numPr>
                <w:ilvl w:val="0"/>
                <w:numId w:val="3"/>
              </w:numPr>
              <w:rPr>
                <w:rStyle w:val="CORPSHBT2"/>
                <w:sz w:val="20"/>
              </w:rPr>
            </w:pPr>
            <w:r w:rsidRPr="008E6919">
              <w:rPr>
                <w:rStyle w:val="CORPSHBT2"/>
                <w:sz w:val="20"/>
              </w:rPr>
              <w:t>Participation aux actions de santé publique</w:t>
            </w:r>
          </w:p>
          <w:p w:rsidR="008E6919" w:rsidRPr="002A5AA1" w:rsidRDefault="008E6919" w:rsidP="008E6919">
            <w:pPr>
              <w:rPr>
                <w:rStyle w:val="CORPSHBT2"/>
              </w:rPr>
            </w:pPr>
          </w:p>
        </w:tc>
      </w:tr>
      <w:tr w:rsidR="008E6919" w:rsidTr="008E6919">
        <w:trPr>
          <w:trHeight w:val="861"/>
        </w:trPr>
        <w:tc>
          <w:tcPr>
            <w:tcW w:w="1844" w:type="dxa"/>
            <w:shd w:val="clear" w:color="auto" w:fill="2F5CA7"/>
            <w:vAlign w:val="center"/>
          </w:tcPr>
          <w:p w:rsidR="008E6919" w:rsidRPr="008E6919" w:rsidRDefault="008E6919" w:rsidP="008E6919">
            <w:pPr>
              <w:rPr>
                <w:rStyle w:val="CORPSHBT2"/>
                <w:b/>
                <w:color w:val="FFFFFF" w:themeColor="background1"/>
                <w:sz w:val="20"/>
              </w:rPr>
            </w:pPr>
            <w:r w:rsidRPr="008E6919">
              <w:rPr>
                <w:rStyle w:val="CORPSHBT2"/>
                <w:b/>
                <w:color w:val="FFFFFF" w:themeColor="background1"/>
                <w:sz w:val="20"/>
              </w:rPr>
              <w:t xml:space="preserve">Prérequis </w:t>
            </w:r>
          </w:p>
          <w:p w:rsidR="008E6919" w:rsidRPr="008E6919" w:rsidRDefault="008E6919" w:rsidP="008E6919">
            <w:pPr>
              <w:rPr>
                <w:rStyle w:val="CORPSHBT2"/>
                <w:b/>
                <w:color w:val="FFFFFF" w:themeColor="background1"/>
                <w:sz w:val="20"/>
              </w:rPr>
            </w:pPr>
            <w:r w:rsidRPr="008E6919">
              <w:rPr>
                <w:rStyle w:val="CORPSHBT2"/>
                <w:b/>
                <w:color w:val="FFFFFF" w:themeColor="background1"/>
                <w:sz w:val="20"/>
              </w:rPr>
              <w:t>réglementaires</w:t>
            </w:r>
          </w:p>
        </w:tc>
        <w:tc>
          <w:tcPr>
            <w:tcW w:w="7937" w:type="dxa"/>
            <w:vAlign w:val="center"/>
          </w:tcPr>
          <w:p w:rsidR="008E6919" w:rsidRPr="005668BE" w:rsidRDefault="008E6919" w:rsidP="008E6919">
            <w:pPr>
              <w:pStyle w:val="Paragraphedeliste"/>
              <w:numPr>
                <w:ilvl w:val="0"/>
                <w:numId w:val="1"/>
              </w:numPr>
              <w:rPr>
                <w:rStyle w:val="CORPSHBT2"/>
                <w:sz w:val="20"/>
              </w:rPr>
            </w:pPr>
            <w:r w:rsidRPr="005668BE">
              <w:rPr>
                <w:rStyle w:val="CORPSHBT2"/>
                <w:sz w:val="20"/>
              </w:rPr>
              <w:t xml:space="preserve">Master en psychologie </w:t>
            </w:r>
          </w:p>
          <w:p w:rsidR="008E6919" w:rsidRPr="005668BE" w:rsidRDefault="008E6919" w:rsidP="008E6919">
            <w:pPr>
              <w:pStyle w:val="Paragraphedeliste"/>
              <w:numPr>
                <w:ilvl w:val="0"/>
                <w:numId w:val="1"/>
              </w:numPr>
              <w:rPr>
                <w:rStyle w:val="CORPSHBT2"/>
                <w:sz w:val="20"/>
              </w:rPr>
            </w:pPr>
            <w:r w:rsidRPr="005668BE">
              <w:rPr>
                <w:rStyle w:val="CORPSHBT2"/>
                <w:sz w:val="20"/>
              </w:rPr>
              <w:t>Connaissances en addictologie</w:t>
            </w:r>
          </w:p>
        </w:tc>
      </w:tr>
      <w:tr w:rsidR="008E6919" w:rsidTr="008E6919">
        <w:trPr>
          <w:trHeight w:val="861"/>
        </w:trPr>
        <w:tc>
          <w:tcPr>
            <w:tcW w:w="1844" w:type="dxa"/>
            <w:shd w:val="clear" w:color="auto" w:fill="2F5CA7"/>
            <w:vAlign w:val="center"/>
          </w:tcPr>
          <w:p w:rsidR="008E6919" w:rsidRPr="008E6919" w:rsidRDefault="008E6919" w:rsidP="008E6919">
            <w:pPr>
              <w:rPr>
                <w:rStyle w:val="CORPSHBT2"/>
                <w:b/>
                <w:color w:val="FFFFFF" w:themeColor="background1"/>
                <w:sz w:val="20"/>
              </w:rPr>
            </w:pPr>
            <w:r w:rsidRPr="008E6919">
              <w:rPr>
                <w:rStyle w:val="CORPSHBT2"/>
                <w:b/>
                <w:color w:val="FFFFFF" w:themeColor="background1"/>
                <w:sz w:val="20"/>
              </w:rPr>
              <w:t>Organisation du temps de travail</w:t>
            </w:r>
          </w:p>
        </w:tc>
        <w:tc>
          <w:tcPr>
            <w:tcW w:w="7937" w:type="dxa"/>
            <w:vAlign w:val="center"/>
          </w:tcPr>
          <w:p w:rsidR="008E6919" w:rsidRDefault="008E6919" w:rsidP="008E6919">
            <w:pPr>
              <w:pStyle w:val="Retraitcorpsdetexte2"/>
              <w:ind w:left="0"/>
              <w:jc w:val="left"/>
              <w:rPr>
                <w:rStyle w:val="CORPSHBT2"/>
                <w:sz w:val="20"/>
              </w:rPr>
            </w:pPr>
            <w:r>
              <w:rPr>
                <w:rStyle w:val="CORPSHBT2"/>
                <w:sz w:val="20"/>
              </w:rPr>
              <w:t xml:space="preserve">Poste à 80% - Du mardi au vendredi </w:t>
            </w:r>
          </w:p>
          <w:p w:rsidR="008E6919" w:rsidRPr="008E6919" w:rsidRDefault="008E6919" w:rsidP="008E6919">
            <w:pPr>
              <w:rPr>
                <w:rStyle w:val="CORPSHBT2"/>
                <w:sz w:val="20"/>
              </w:rPr>
            </w:pPr>
            <w:r w:rsidRPr="008E6919">
              <w:rPr>
                <w:rStyle w:val="CORPSHBT2"/>
                <w:sz w:val="20"/>
              </w:rPr>
              <w:t>Organisation autonome entre 8h30 et 18h30</w:t>
            </w:r>
          </w:p>
        </w:tc>
      </w:tr>
    </w:tbl>
    <w:p w:rsidR="008E6919" w:rsidRPr="00075432" w:rsidRDefault="008E6919" w:rsidP="008E6919">
      <w:pPr>
        <w:jc w:val="both"/>
        <w:rPr>
          <w:rStyle w:val="CORPSHBT2"/>
          <w:sz w:val="20"/>
        </w:rPr>
      </w:pPr>
      <w:r w:rsidRPr="002A5AA1">
        <w:rPr>
          <w:rStyle w:val="CORPSHBT2"/>
          <w:sz w:val="20"/>
        </w:rPr>
        <w:t xml:space="preserve"> </w:t>
      </w:r>
      <w:r w:rsidR="002A5AA1" w:rsidRPr="002A5AA1">
        <w:rPr>
          <w:rStyle w:val="CORPSHBT2"/>
          <w:sz w:val="20"/>
        </w:rPr>
        <w:t>L’ensemble des spécialités de médecine et de chirurgie sont présentes y compris les spécialités de recours (réanimation, soins intensifs de cardiologie, néonatalogie…). Une maternité, un service d’urgences et des unités de psychiatrie complètent l’offre du site. Des sites extérieurs de santé mentale se trouvent également à Sète, Frontignan et Mèze ainsi que des EHPAD, SSR et USLD sur Sète, Vias, Marseillan et Agde.</w:t>
      </w:r>
    </w:p>
    <w:tbl>
      <w:tblPr>
        <w:tblStyle w:val="Grilledutableau"/>
        <w:tblpPr w:leftFromText="141" w:rightFromText="141" w:vertAnchor="text" w:horzAnchor="margin" w:tblpY="227"/>
        <w:tblW w:w="9792" w:type="dxa"/>
        <w:tblLook w:val="04A0" w:firstRow="1" w:lastRow="0" w:firstColumn="1" w:lastColumn="0" w:noHBand="0" w:noVBand="1"/>
      </w:tblPr>
      <w:tblGrid>
        <w:gridCol w:w="1841"/>
        <w:gridCol w:w="7951"/>
      </w:tblGrid>
      <w:tr w:rsidR="002A5AA1" w:rsidTr="005668BE">
        <w:trPr>
          <w:trHeight w:val="501"/>
        </w:trPr>
        <w:tc>
          <w:tcPr>
            <w:tcW w:w="1841" w:type="dxa"/>
            <w:shd w:val="clear" w:color="auto" w:fill="2F5CA7"/>
            <w:vAlign w:val="center"/>
          </w:tcPr>
          <w:p w:rsidR="002A5AA1" w:rsidRPr="008E6919" w:rsidRDefault="002A5AA1" w:rsidP="002A5AA1">
            <w:pPr>
              <w:rPr>
                <w:rStyle w:val="CORPSHBT2"/>
                <w:b/>
                <w:color w:val="FFFFFF" w:themeColor="background1"/>
                <w:sz w:val="20"/>
                <w:highlight w:val="yellow"/>
              </w:rPr>
            </w:pPr>
            <w:r w:rsidRPr="008E6919">
              <w:rPr>
                <w:rStyle w:val="CORPSHBT2"/>
                <w:b/>
                <w:color w:val="FFFFFF" w:themeColor="background1"/>
                <w:sz w:val="20"/>
              </w:rPr>
              <w:t>Famille</w:t>
            </w:r>
          </w:p>
        </w:tc>
        <w:tc>
          <w:tcPr>
            <w:tcW w:w="7951" w:type="dxa"/>
            <w:vAlign w:val="center"/>
          </w:tcPr>
          <w:p w:rsidR="002A5AA1" w:rsidRPr="002A5AA1" w:rsidRDefault="002A5AA1" w:rsidP="002A5AA1">
            <w:pPr>
              <w:pStyle w:val="Retraitcorpsdetexte2"/>
              <w:ind w:left="0"/>
              <w:jc w:val="left"/>
              <w:rPr>
                <w:rStyle w:val="CORPSHBT2"/>
                <w:sz w:val="20"/>
              </w:rPr>
            </w:pPr>
            <w:r w:rsidRPr="002A5AA1">
              <w:rPr>
                <w:rStyle w:val="CORPSHBT2"/>
                <w:sz w:val="20"/>
              </w:rPr>
              <w:t>Soins – Assistance aux soins</w:t>
            </w:r>
          </w:p>
        </w:tc>
      </w:tr>
      <w:tr w:rsidR="002A5AA1" w:rsidTr="005668BE">
        <w:trPr>
          <w:trHeight w:val="574"/>
        </w:trPr>
        <w:tc>
          <w:tcPr>
            <w:tcW w:w="1841" w:type="dxa"/>
            <w:shd w:val="clear" w:color="auto" w:fill="2F5CA7"/>
            <w:vAlign w:val="center"/>
          </w:tcPr>
          <w:p w:rsidR="002A5AA1" w:rsidRPr="008E6919" w:rsidRDefault="002A5AA1" w:rsidP="002A5AA1">
            <w:pPr>
              <w:rPr>
                <w:rStyle w:val="CORPSHBT2"/>
                <w:b/>
                <w:color w:val="FFFFFF" w:themeColor="background1"/>
                <w:sz w:val="20"/>
                <w:highlight w:val="yellow"/>
              </w:rPr>
            </w:pPr>
            <w:r w:rsidRPr="008E6919">
              <w:rPr>
                <w:rStyle w:val="CORPSHBT2"/>
                <w:b/>
                <w:color w:val="FFFFFF" w:themeColor="background1"/>
                <w:sz w:val="20"/>
              </w:rPr>
              <w:t>Code</w:t>
            </w:r>
          </w:p>
        </w:tc>
        <w:tc>
          <w:tcPr>
            <w:tcW w:w="7951" w:type="dxa"/>
            <w:vAlign w:val="center"/>
          </w:tcPr>
          <w:p w:rsidR="002A5AA1" w:rsidRPr="002A5AA1" w:rsidRDefault="002A5AA1" w:rsidP="002A5AA1">
            <w:pPr>
              <w:pStyle w:val="Retraitcorpsdetexte2"/>
              <w:ind w:left="0"/>
              <w:jc w:val="left"/>
              <w:rPr>
                <w:rStyle w:val="CORPSHBT2"/>
                <w:sz w:val="20"/>
              </w:rPr>
            </w:pPr>
            <w:r w:rsidRPr="002A5AA1">
              <w:rPr>
                <w:rStyle w:val="CORPSHBT2"/>
                <w:sz w:val="20"/>
              </w:rPr>
              <w:t>05R30</w:t>
            </w:r>
          </w:p>
        </w:tc>
      </w:tr>
    </w:tbl>
    <w:p w:rsidR="002A5AA1" w:rsidRPr="005668BE" w:rsidRDefault="002A5AA1" w:rsidP="002A5AA1">
      <w:pPr>
        <w:rPr>
          <w:rStyle w:val="CORPSHBT1"/>
          <w:b/>
          <w:sz w:val="20"/>
        </w:rPr>
      </w:pPr>
      <w:bookmarkStart w:id="0" w:name="_GoBack"/>
      <w:bookmarkEnd w:id="0"/>
    </w:p>
    <w:p w:rsidR="002A5AA1" w:rsidRDefault="002A5AA1"/>
    <w:sectPr w:rsidR="002A5AA1" w:rsidSect="005668BE">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Bebas Neue">
    <w:panose1 w:val="020B0606020202050201"/>
    <w:charset w:val="00"/>
    <w:family w:val="swiss"/>
    <w:pitch w:val="variable"/>
    <w:sig w:usb0="00000007" w:usb1="00000001" w:usb2="00000000" w:usb3="00000000" w:csb0="00000093"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MT">
    <w:altName w:val="Times New Roman"/>
    <w:panose1 w:val="00000000000000000000"/>
    <w:charset w:val="00"/>
    <w:family w:val="roman"/>
    <w:notTrueType/>
    <w:pitch w:val="default"/>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7E7C8A"/>
    <w:multiLevelType w:val="hybridMultilevel"/>
    <w:tmpl w:val="3064C10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3F7E07E2"/>
    <w:multiLevelType w:val="hybridMultilevel"/>
    <w:tmpl w:val="8BF0FF8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43A963C5"/>
    <w:multiLevelType w:val="hybridMultilevel"/>
    <w:tmpl w:val="7C5406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AA1"/>
    <w:rsid w:val="00075432"/>
    <w:rsid w:val="002A5AA1"/>
    <w:rsid w:val="005668BE"/>
    <w:rsid w:val="008E6919"/>
    <w:rsid w:val="00A35ECF"/>
    <w:rsid w:val="00E07A7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0679C"/>
  <w15:chartTrackingRefBased/>
  <w15:docId w15:val="{A5BA1948-90D3-4425-BFAB-931240A86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5AA1"/>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HBT1">
    <w:name w:val="TITRE HBT 1"/>
    <w:basedOn w:val="Policepardfaut"/>
    <w:uiPriority w:val="1"/>
    <w:qFormat/>
    <w:rsid w:val="00E07A78"/>
    <w:rPr>
      <w:rFonts w:ascii="Bebas Neue" w:hAnsi="Bebas Neue"/>
      <w:sz w:val="40"/>
    </w:rPr>
  </w:style>
  <w:style w:type="character" w:customStyle="1" w:styleId="CORPSHBT2">
    <w:name w:val="CORPS HBT 2"/>
    <w:basedOn w:val="Policepardfaut"/>
    <w:uiPriority w:val="1"/>
    <w:qFormat/>
    <w:rsid w:val="00E07A78"/>
    <w:rPr>
      <w:rFonts w:ascii="Century Gothic" w:hAnsi="Century Gothic"/>
      <w:sz w:val="24"/>
    </w:rPr>
  </w:style>
  <w:style w:type="character" w:customStyle="1" w:styleId="CORPSHBT1">
    <w:name w:val="CORPS HBT 1"/>
    <w:basedOn w:val="Policepardfaut"/>
    <w:uiPriority w:val="1"/>
    <w:qFormat/>
    <w:rsid w:val="002A5AA1"/>
    <w:rPr>
      <w:rFonts w:asciiTheme="minorHAnsi" w:hAnsiTheme="minorHAnsi"/>
      <w:sz w:val="24"/>
    </w:rPr>
  </w:style>
  <w:style w:type="table" w:styleId="Grilledutableau">
    <w:name w:val="Table Grid"/>
    <w:basedOn w:val="TableauNormal"/>
    <w:uiPriority w:val="39"/>
    <w:rsid w:val="002A5A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traitcorpsdetexte2">
    <w:name w:val="Body Text Indent 2"/>
    <w:basedOn w:val="Normal"/>
    <w:link w:val="Retraitcorpsdetexte2Car"/>
    <w:unhideWhenUsed/>
    <w:rsid w:val="002A5AA1"/>
    <w:pPr>
      <w:overflowPunct w:val="0"/>
      <w:autoSpaceDE w:val="0"/>
      <w:autoSpaceDN w:val="0"/>
      <w:adjustRightInd w:val="0"/>
      <w:spacing w:after="0" w:line="240" w:lineRule="auto"/>
      <w:ind w:left="567"/>
      <w:jc w:val="both"/>
    </w:pPr>
    <w:rPr>
      <w:rFonts w:ascii="Times New Roman" w:eastAsia="MS Gothic" w:hAnsi="Times New Roman" w:cs="Times New Roman"/>
      <w:szCs w:val="20"/>
      <w:lang w:eastAsia="fr-FR"/>
    </w:rPr>
  </w:style>
  <w:style w:type="character" w:customStyle="1" w:styleId="Retraitcorpsdetexte2Car">
    <w:name w:val="Retrait corps de texte 2 Car"/>
    <w:basedOn w:val="Policepardfaut"/>
    <w:link w:val="Retraitcorpsdetexte2"/>
    <w:rsid w:val="002A5AA1"/>
    <w:rPr>
      <w:rFonts w:ascii="Times New Roman" w:eastAsia="MS Gothic" w:hAnsi="Times New Roman" w:cs="Times New Roman"/>
      <w:szCs w:val="20"/>
      <w:lang w:eastAsia="fr-FR"/>
    </w:rPr>
  </w:style>
  <w:style w:type="character" w:customStyle="1" w:styleId="fontstyle01">
    <w:name w:val="fontstyle01"/>
    <w:basedOn w:val="Policepardfaut"/>
    <w:rsid w:val="002A5AA1"/>
    <w:rPr>
      <w:rFonts w:ascii="ArialMT" w:hAnsi="ArialMT" w:hint="default"/>
      <w:b w:val="0"/>
      <w:bCs w:val="0"/>
      <w:i w:val="0"/>
      <w:iCs w:val="0"/>
      <w:color w:val="000000"/>
      <w:sz w:val="20"/>
      <w:szCs w:val="20"/>
    </w:rPr>
  </w:style>
  <w:style w:type="paragraph" w:styleId="Paragraphedeliste">
    <w:name w:val="List Paragraph"/>
    <w:basedOn w:val="Normal"/>
    <w:uiPriority w:val="34"/>
    <w:qFormat/>
    <w:rsid w:val="005668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Pages>
  <Words>312</Words>
  <Characters>1720</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Hôpitaux du Bassin de Thau</Company>
  <LinksUpToDate>false</LinksUpToDate>
  <CharactersWithSpaces>2028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HANSSON MAUREEN</dc:creator>
  <cp:keywords/>
  <dc:description/>
  <cp:lastModifiedBy>HANSSON MAUREEN</cp:lastModifiedBy>
  <cp:revision>1</cp:revision>
  <dcterms:created xsi:type="dcterms:W3CDTF">2025-09-11T09:04:00Z</dcterms:created>
  <dcterms:modified xsi:type="dcterms:W3CDTF">2025-09-11T09:48:00Z</dcterms:modified>
</cp:coreProperties>
</file>